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C217C8" w:rsidRDefault="00E92B1D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716FB6" w:rsidRPr="00716FB6" w:rsidRDefault="00716FB6">
      <w:pPr>
        <w:rPr>
          <w:rFonts w:ascii="Times New Roman" w:hAnsi="Times New Roman" w:cs="Times New Roman"/>
          <w:b/>
          <w:sz w:val="24"/>
          <w:lang w:val="en-US"/>
        </w:rPr>
      </w:pPr>
      <w:r w:rsidRPr="00716FB6">
        <w:rPr>
          <w:rFonts w:ascii="Times New Roman" w:hAnsi="Times New Roman" w:cs="Times New Roman"/>
          <w:b/>
          <w:sz w:val="24"/>
          <w:lang w:val="en-US"/>
        </w:rPr>
        <w:t xml:space="preserve">Department of </w:t>
      </w:r>
      <w:r w:rsidR="00F75469">
        <w:rPr>
          <w:rFonts w:ascii="Times New Roman" w:hAnsi="Times New Roman" w:cs="Times New Roman"/>
          <w:b/>
          <w:sz w:val="24"/>
          <w:lang w:val="en-US"/>
        </w:rPr>
        <w:t>English</w:t>
      </w:r>
      <w:r>
        <w:rPr>
          <w:rFonts w:ascii="Times New Roman" w:hAnsi="Times New Roman" w:cs="Times New Roman"/>
          <w:b/>
          <w:sz w:val="24"/>
          <w:lang w:val="en-US"/>
        </w:rPr>
        <w:t xml:space="preserve">: </w:t>
      </w:r>
      <w:r w:rsidR="00B40672">
        <w:rPr>
          <w:rFonts w:ascii="Times New Roman" w:hAnsi="Times New Roman" w:cs="Times New Roman"/>
          <w:b/>
          <w:sz w:val="24"/>
          <w:lang w:val="en-US"/>
        </w:rPr>
        <w:t>M</w:t>
      </w:r>
      <w:r w:rsidR="002A6080">
        <w:rPr>
          <w:rFonts w:ascii="Times New Roman" w:hAnsi="Times New Roman" w:cs="Times New Roman"/>
          <w:b/>
          <w:sz w:val="24"/>
          <w:lang w:val="en-US"/>
        </w:rPr>
        <w:t>.A.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851"/>
        <w:gridCol w:w="4314"/>
      </w:tblGrid>
      <w:tr w:rsidR="00716FB6" w:rsidRPr="00103EB5" w:rsidTr="00103EB5">
        <w:tc>
          <w:tcPr>
            <w:tcW w:w="817" w:type="dxa"/>
          </w:tcPr>
          <w:p w:rsidR="00716FB6" w:rsidRPr="00103EB5" w:rsidRDefault="00716FB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418" w:type="dxa"/>
          </w:tcPr>
          <w:p w:rsidR="00716FB6" w:rsidRPr="00103EB5" w:rsidRDefault="00716FB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842" w:type="dxa"/>
          </w:tcPr>
          <w:p w:rsidR="00716FB6" w:rsidRPr="00103EB5" w:rsidRDefault="00716FB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851" w:type="dxa"/>
          </w:tcPr>
          <w:p w:rsidR="00716FB6" w:rsidRPr="00103EB5" w:rsidRDefault="00716FB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4314" w:type="dxa"/>
          </w:tcPr>
          <w:p w:rsidR="00716FB6" w:rsidRPr="00103EB5" w:rsidRDefault="00716FB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E65DD4" w:rsidRPr="00103EB5" w:rsidTr="00103EB5">
        <w:tc>
          <w:tcPr>
            <w:tcW w:w="817" w:type="dxa"/>
            <w:vMerge w:val="restart"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8" w:type="dxa"/>
            <w:vMerge w:val="restart"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65DD4" w:rsidRPr="00103EB5" w:rsidRDefault="00DC312C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F75469"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.A.</w:t>
            </w:r>
            <w:r w:rsidR="00E65DD4"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I-</w:t>
            </w:r>
            <w:proofErr w:type="spellStart"/>
            <w:r w:rsidR="00E65DD4"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DD4" w:rsidRPr="00103EB5" w:rsidRDefault="00F75469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Basic Grammar Structure (DSC)</w:t>
            </w:r>
            <w:r w:rsidR="003C0939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MEL6101T </w:t>
            </w:r>
          </w:p>
          <w:p w:rsidR="00874677" w:rsidRPr="00103EB5" w:rsidRDefault="00874677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677" w:rsidRPr="00103EB5" w:rsidRDefault="00874677" w:rsidP="00103EB5">
            <w:pPr>
              <w:widowControl w:val="0"/>
              <w:autoSpaceDE w:val="0"/>
              <w:autoSpaceDN w:val="0"/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874677" w:rsidRPr="00103EB5" w:rsidRDefault="00874677" w:rsidP="00103EB5">
            <w:pPr>
              <w:spacing w:line="360" w:lineRule="auto"/>
              <w:ind w:left="142" w:firstLine="21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874677" w:rsidRPr="00103EB5" w:rsidRDefault="00874677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874677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recognize</w:t>
            </w:r>
            <w:r w:rsidR="00874677" w:rsidRPr="00103E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English grammar, sentence structures, and different concepts and notions.</w:t>
            </w:r>
          </w:p>
        </w:tc>
      </w:tr>
      <w:tr w:rsidR="00E65DD4" w:rsidRPr="00103EB5" w:rsidTr="00103EB5">
        <w:tc>
          <w:tcPr>
            <w:tcW w:w="817" w:type="dxa"/>
            <w:vMerge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874677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describe the sentences across different structures and explain how they affect the meaning </w:t>
            </w:r>
            <w:bookmarkStart w:id="0" w:name="_GoBack"/>
            <w:bookmarkEnd w:id="0"/>
            <w:r w:rsidR="00874677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 structure.</w:t>
            </w:r>
          </w:p>
        </w:tc>
      </w:tr>
      <w:tr w:rsidR="00E65DD4" w:rsidRPr="00103EB5" w:rsidTr="00103EB5">
        <w:tc>
          <w:tcPr>
            <w:tcW w:w="817" w:type="dxa"/>
            <w:vMerge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E65DD4" w:rsidRPr="00103EB5" w:rsidRDefault="00E65DD4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874677" w:rsidRPr="00103E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apply tenses clearly &amp; correctly both in writing and speaking.</w:t>
            </w:r>
          </w:p>
        </w:tc>
      </w:tr>
      <w:tr w:rsidR="00596ADD" w:rsidRPr="00103EB5" w:rsidTr="00103EB5">
        <w:trPr>
          <w:trHeight w:val="666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103E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use prose readings and produce well-written formal &amp; informal letters, as well as writing conventions such as  </w:t>
            </w:r>
            <w:proofErr w:type="spellStart"/>
            <w:r w:rsidRPr="00103E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precis</w:t>
            </w:r>
            <w:proofErr w:type="spellEnd"/>
            <w:r w:rsidRPr="00103E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summaries &amp; report writing using appropriate language and structure.</w:t>
            </w:r>
          </w:p>
        </w:tc>
      </w:tr>
      <w:tr w:rsidR="00B35B6B" w:rsidRPr="00103EB5" w:rsidTr="00103EB5">
        <w:tc>
          <w:tcPr>
            <w:tcW w:w="817" w:type="dxa"/>
            <w:vMerge w:val="restart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8" w:type="dxa"/>
            <w:vMerge w:val="restart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3C0939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M.A.</w:t>
            </w:r>
            <w:r w:rsidR="00B35B6B"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&amp; I-</w:t>
            </w:r>
            <w:proofErr w:type="spellStart"/>
            <w:r w:rsidR="00B35B6B"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F75469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Renaissance and </w:t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Reformation Literature(DSC)</w:t>
            </w:r>
            <w:r w:rsidR="003C0939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MEL6102T</w:t>
            </w:r>
          </w:p>
        </w:tc>
        <w:tc>
          <w:tcPr>
            <w:tcW w:w="851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314" w:type="dxa"/>
          </w:tcPr>
          <w:p w:rsidR="00874677" w:rsidRPr="00103EB5" w:rsidRDefault="00874677" w:rsidP="00103EB5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Able to interpret key works from the English Renaissance and Early Modern period.</w:t>
            </w: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B6B" w:rsidRPr="00103EB5" w:rsidTr="00103EB5">
        <w:tc>
          <w:tcPr>
            <w:tcW w:w="817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874677" w:rsidRPr="00103EB5" w:rsidRDefault="00B35B6B" w:rsidP="00103EB5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="00874677" w:rsidRPr="00103EB5">
              <w:rPr>
                <w:rFonts w:ascii="Times New Roman" w:hAnsi="Times New Roman" w:cs="Times New Roman"/>
                <w:sz w:val="24"/>
                <w:szCs w:val="24"/>
              </w:rPr>
              <w:t>examine the various themes, literary techniques, and historical contexts of related literary and artistic works.</w:t>
            </w: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B6B" w:rsidRPr="00103EB5" w:rsidTr="00103EB5">
        <w:tc>
          <w:tcPr>
            <w:tcW w:w="817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261A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illustrate</w:t>
            </w:r>
            <w:r w:rsidR="00874677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social, political, and philosophical concerns that shaped these works.</w:t>
            </w:r>
          </w:p>
        </w:tc>
      </w:tr>
      <w:tr w:rsidR="00596ADD" w:rsidRPr="00103EB5" w:rsidTr="00103EB5">
        <w:trPr>
          <w:trHeight w:val="621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apply their lasting influence on the development of English literature </w:t>
            </w:r>
            <w:proofErr w:type="gramStart"/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specially</w:t>
            </w:r>
            <w:proofErr w:type="gramEnd"/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 Milton and other Romantic Poets &amp; writers.</w:t>
            </w:r>
          </w:p>
        </w:tc>
      </w:tr>
      <w:tr w:rsidR="00B35B6B" w:rsidRPr="00103EB5" w:rsidTr="00103EB5">
        <w:tc>
          <w:tcPr>
            <w:tcW w:w="817" w:type="dxa"/>
            <w:vMerge w:val="restart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vMerge w:val="restart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3C0939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M.A.</w:t>
            </w:r>
            <w:r w:rsidR="00B35B6B"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&amp; I-</w:t>
            </w:r>
            <w:proofErr w:type="spellStart"/>
            <w:r w:rsidR="00B35B6B"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F75469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Restoration to Romantic Period Literature(DSC)</w:t>
            </w:r>
            <w:r w:rsidR="003C0939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&amp; MEL6103T</w:t>
            </w:r>
          </w:p>
        </w:tc>
        <w:tc>
          <w:tcPr>
            <w:tcW w:w="851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261AD8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="00261AD8"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outline how </w:t>
            </w:r>
            <w:proofErr w:type="spellStart"/>
            <w:r w:rsidR="00261AD8" w:rsidRPr="00103EB5">
              <w:rPr>
                <w:rFonts w:ascii="Times New Roman" w:hAnsi="Times New Roman" w:cs="Times New Roman"/>
                <w:sz w:val="24"/>
                <w:szCs w:val="24"/>
              </w:rPr>
              <w:t>Milton’s</w:t>
            </w:r>
            <w:proofErr w:type="gramStart"/>
            <w:r w:rsidR="00261AD8" w:rsidRPr="00103EB5">
              <w:rPr>
                <w:rFonts w:ascii="Times New Roman" w:hAnsi="Times New Roman" w:cs="Times New Roman"/>
                <w:sz w:val="24"/>
                <w:szCs w:val="24"/>
              </w:rPr>
              <w:t>,Dryden’s</w:t>
            </w:r>
            <w:proofErr w:type="spellEnd"/>
            <w:proofErr w:type="gramEnd"/>
            <w:r w:rsidR="00261AD8"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 &amp; Pope’s  works reflect the historical and cultural contexts of their time.</w:t>
            </w: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B6B" w:rsidRPr="00103EB5" w:rsidTr="00103EB5">
        <w:tc>
          <w:tcPr>
            <w:tcW w:w="817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261AD8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="00261AD8" w:rsidRPr="00103EB5">
              <w:rPr>
                <w:rFonts w:ascii="Times New Roman" w:hAnsi="Times New Roman" w:cs="Times New Roman"/>
                <w:sz w:val="24"/>
                <w:szCs w:val="24"/>
              </w:rPr>
              <w:t>explain the emotional and philosophical undertones of the poems, particularly in the context of Romanticism and relate to their lives.</w:t>
            </w: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B6B" w:rsidRPr="00103EB5" w:rsidTr="00103EB5">
        <w:tc>
          <w:tcPr>
            <w:tcW w:w="817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261A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illustrate the connections between the personal lives of the poets and the themes explored in their works.</w:t>
            </w:r>
          </w:p>
        </w:tc>
      </w:tr>
      <w:tr w:rsidR="006A7CC5" w:rsidRPr="00103EB5" w:rsidTr="00103EB5">
        <w:trPr>
          <w:trHeight w:val="2218"/>
        </w:trPr>
        <w:tc>
          <w:tcPr>
            <w:tcW w:w="817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Able to determine how Lamb and Hazlitt's personal style and emotional insights connect with the larger cultural and philosophical debates of their time.</w:t>
            </w:r>
          </w:p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B6B" w:rsidRPr="00103EB5" w:rsidTr="00103EB5">
        <w:tc>
          <w:tcPr>
            <w:tcW w:w="817" w:type="dxa"/>
            <w:vMerge w:val="restart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8" w:type="dxa"/>
            <w:vMerge w:val="restart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3C0939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M.A.</w:t>
            </w:r>
            <w:r w:rsidR="00B35B6B"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&amp; I-</w:t>
            </w:r>
            <w:proofErr w:type="spellStart"/>
            <w:r w:rsidR="00B35B6B"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3C0939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Victorian to </w:t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Modern Period Literature(DSC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&amp; </w:t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MEL6104T)</w:t>
            </w:r>
          </w:p>
        </w:tc>
        <w:tc>
          <w:tcPr>
            <w:tcW w:w="851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314" w:type="dxa"/>
          </w:tcPr>
          <w:p w:rsidR="00261AD8" w:rsidRPr="00103EB5" w:rsidRDefault="00596ADD" w:rsidP="00103EB5">
            <w:pPr>
              <w:widowControl w:val="0"/>
              <w:tabs>
                <w:tab w:val="left" w:pos="2835"/>
              </w:tabs>
              <w:autoSpaceDE w:val="0"/>
              <w:autoSpaceDN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261A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recall and identify key themes such as jealousy, love, isolation, and existential questions in the works of Browning and Tennyson.</w:t>
            </w: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B6B" w:rsidRPr="00103EB5" w:rsidTr="00103EB5">
        <w:tc>
          <w:tcPr>
            <w:tcW w:w="817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B35B6B" w:rsidRPr="00103EB5" w:rsidRDefault="00B35B6B" w:rsidP="00103EB5">
            <w:pPr>
              <w:tabs>
                <w:tab w:val="left" w:pos="28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="0087595B"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explain the thematic concerns of spirituality, nature, and love in the poems </w:t>
            </w:r>
            <w:r w:rsidR="0087595B" w:rsidRPr="00103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Hopkins and Browning, evaluating their relevance to the Victorian period.</w:t>
            </w:r>
          </w:p>
        </w:tc>
      </w:tr>
      <w:tr w:rsidR="00B35B6B" w:rsidRPr="00103EB5" w:rsidTr="00103EB5">
        <w:tc>
          <w:tcPr>
            <w:tcW w:w="817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B35B6B" w:rsidRPr="00103EB5" w:rsidRDefault="00B35B6B" w:rsidP="00103EB5">
            <w:pPr>
              <w:tabs>
                <w:tab w:val="left" w:pos="2835"/>
              </w:tabs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="0087595B" w:rsidRPr="00103EB5">
              <w:rPr>
                <w:rFonts w:ascii="Times New Roman" w:hAnsi="Times New Roman" w:cs="Times New Roman"/>
                <w:sz w:val="24"/>
                <w:szCs w:val="24"/>
              </w:rPr>
              <w:t>apply critical theories to analyze the role of social critique, religion, and morality in the works of Arnold and Rossetti.</w:t>
            </w:r>
          </w:p>
        </w:tc>
      </w:tr>
      <w:tr w:rsidR="006A7CC5" w:rsidRPr="00103EB5" w:rsidTr="00103EB5">
        <w:trPr>
          <w:trHeight w:val="1083"/>
        </w:trPr>
        <w:tc>
          <w:tcPr>
            <w:tcW w:w="817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apply the literary techniques and themes of the novels during the Victorian social issues, gender roles, and the impact of industrialization.</w:t>
            </w:r>
          </w:p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B6B" w:rsidRPr="00103EB5" w:rsidTr="00103EB5">
        <w:tc>
          <w:tcPr>
            <w:tcW w:w="817" w:type="dxa"/>
            <w:vMerge w:val="restart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8" w:type="dxa"/>
            <w:vMerge w:val="restart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103EB5" w:rsidRDefault="003C0939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M.A.</w:t>
            </w:r>
            <w:r w:rsidR="00B35B6B"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&amp; I-</w:t>
            </w:r>
            <w:proofErr w:type="spellStart"/>
            <w:r w:rsidR="00B35B6B"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3C0939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American Literature (DSE) &amp; MEL6105T </w:t>
            </w: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General English-I &amp; AEC5GE1T</w:t>
            </w:r>
          </w:p>
        </w:tc>
        <w:tc>
          <w:tcPr>
            <w:tcW w:w="851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B35B6B" w:rsidRPr="00103EB5" w:rsidRDefault="00B35B6B" w:rsidP="00103EB5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="0087595B" w:rsidRPr="00103EB5">
              <w:rPr>
                <w:rFonts w:ascii="Times New Roman" w:hAnsi="Times New Roman" w:cs="Times New Roman"/>
                <w:sz w:val="24"/>
                <w:szCs w:val="24"/>
              </w:rPr>
              <w:t>recall how Dickinson’s lyricism, Frost’s rural imagery, and Whitman’s expansive free verse reflect their respective perspectives on life and the individual’s role in society.</w:t>
            </w:r>
          </w:p>
        </w:tc>
      </w:tr>
      <w:tr w:rsidR="00B35B6B" w:rsidRPr="00103EB5" w:rsidTr="00103EB5">
        <w:tc>
          <w:tcPr>
            <w:tcW w:w="817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B35B6B" w:rsidRPr="00103EB5" w:rsidRDefault="00B35B6B" w:rsidP="00103EB5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="0087595B" w:rsidRPr="00103EB5">
              <w:rPr>
                <w:rFonts w:ascii="Times New Roman" w:hAnsi="Times New Roman" w:cs="Times New Roman"/>
                <w:sz w:val="24"/>
                <w:szCs w:val="24"/>
              </w:rPr>
              <w:t>explain how transcendentalist ideals in Emerson and Thoreau influence American intellectual thought and how Melville’s Bartleby challenges these ideals with its focus on alienation.</w:t>
            </w:r>
          </w:p>
        </w:tc>
      </w:tr>
      <w:tr w:rsidR="00B35B6B" w:rsidRPr="00103EB5" w:rsidTr="00103EB5">
        <w:tc>
          <w:tcPr>
            <w:tcW w:w="817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35B6B" w:rsidRPr="00103EB5" w:rsidRDefault="00B35B6B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B35B6B" w:rsidRPr="00103EB5" w:rsidRDefault="00B35B6B" w:rsidP="00103EB5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="0087595B" w:rsidRPr="00103EB5">
              <w:rPr>
                <w:rFonts w:ascii="Times New Roman" w:hAnsi="Times New Roman" w:cs="Times New Roman"/>
                <w:sz w:val="24"/>
                <w:szCs w:val="24"/>
              </w:rPr>
              <w:t>apply critical thinking to analyze how Miller’s work critiques post-World War II America and O’Neill’s play reflects the human struggle for meaning and redemption.</w:t>
            </w:r>
          </w:p>
        </w:tc>
      </w:tr>
      <w:tr w:rsidR="00596ADD" w:rsidRPr="00103EB5" w:rsidTr="00103EB5">
        <w:trPr>
          <w:trHeight w:val="886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96ADD" w:rsidRPr="00103EB5" w:rsidRDefault="00596ADD" w:rsidP="00103EB5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Able to apply the relevance of Hawthorne’s and Steinbeck’s critiques of society and their representations of </w:t>
            </w:r>
            <w:r w:rsidRPr="00103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personal and collective struggle.</w:t>
            </w:r>
          </w:p>
        </w:tc>
      </w:tr>
      <w:tr w:rsidR="00672416" w:rsidRPr="00103EB5" w:rsidTr="00103EB5">
        <w:trPr>
          <w:trHeight w:val="676"/>
        </w:trPr>
        <w:tc>
          <w:tcPr>
            <w:tcW w:w="817" w:type="dxa"/>
            <w:vMerge w:val="restart"/>
          </w:tcPr>
          <w:p w:rsidR="00672416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</w:t>
            </w:r>
          </w:p>
        </w:tc>
        <w:tc>
          <w:tcPr>
            <w:tcW w:w="1418" w:type="dxa"/>
            <w:vMerge w:val="restart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M.A.&amp; II-Sem.</w:t>
            </w:r>
          </w:p>
        </w:tc>
        <w:tc>
          <w:tcPr>
            <w:tcW w:w="1842" w:type="dxa"/>
            <w:vMerge w:val="restart"/>
            <w:vAlign w:val="center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Literary Criticism (DSC) &amp;</w:t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E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MEL6201T</w:t>
            </w: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CO1</w:t>
            </w:r>
          </w:p>
        </w:tc>
        <w:tc>
          <w:tcPr>
            <w:tcW w:w="4314" w:type="dxa"/>
          </w:tcPr>
          <w:p w:rsidR="00672416" w:rsidRPr="00103EB5" w:rsidRDefault="00672416" w:rsidP="00103EB5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Able not only to recite the texts but also define critically with the ideas and be able to apply them to their own analysis of literature.</w:t>
            </w:r>
          </w:p>
        </w:tc>
      </w:tr>
      <w:tr w:rsidR="00672416" w:rsidRPr="00103EB5" w:rsidTr="00103EB5">
        <w:trPr>
          <w:trHeight w:val="113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4E1EA9" w:rsidRPr="00103EB5" w:rsidRDefault="004E1EA9" w:rsidP="00103EB5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Able to discuss a deeper understanding of how Romantic poets theorized about the role and function of poetry, the poet’s relationship to society, and the imagination as a creative and transformative force.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150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4E1EA9" w:rsidRPr="00103EB5" w:rsidRDefault="004E1EA9" w:rsidP="00103EB5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Able to apply their own interpretations and critique the relevance and application of these critical frameworks in the modern literary landscape.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150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4E1EA9" w:rsidRPr="00103EB5" w:rsidRDefault="004E1EA9" w:rsidP="00103EB5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Able to illustrate their analytical skills, engage with key literary debates, and develop original arguments about the role of literature and criticism in contemporary society.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251"/>
        </w:trPr>
        <w:tc>
          <w:tcPr>
            <w:tcW w:w="817" w:type="dxa"/>
            <w:vMerge w:val="restart"/>
          </w:tcPr>
          <w:p w:rsidR="00672416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8" w:type="dxa"/>
            <w:vMerge w:val="restart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M.A.&amp; II-Sem.</w:t>
            </w:r>
          </w:p>
        </w:tc>
        <w:tc>
          <w:tcPr>
            <w:tcW w:w="1842" w:type="dxa"/>
            <w:vMerge w:val="restart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36343A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color w:val="36343A"/>
                <w:sz w:val="24"/>
                <w:szCs w:val="24"/>
              </w:rPr>
              <w:t>20</w:t>
            </w:r>
            <w:r w:rsidRPr="00103EB5">
              <w:rPr>
                <w:rFonts w:ascii="Times New Roman" w:hAnsi="Times New Roman" w:cs="Times New Roman"/>
                <w:b/>
                <w:color w:val="36343A"/>
                <w:sz w:val="24"/>
                <w:szCs w:val="24"/>
                <w:vertAlign w:val="superscript"/>
              </w:rPr>
              <w:t>1</w:t>
            </w:r>
            <w:r w:rsidRPr="00103EB5">
              <w:rPr>
                <w:rFonts w:ascii="Times New Roman" w:hAnsi="Times New Roman" w:cs="Times New Roman"/>
                <w:b/>
                <w:color w:val="4F4D52"/>
                <w:sz w:val="24"/>
                <w:szCs w:val="24"/>
                <w:vertAlign w:val="superscript"/>
              </w:rPr>
              <w:t>h</w:t>
            </w:r>
            <w:r w:rsidRPr="00103EB5">
              <w:rPr>
                <w:rFonts w:ascii="Times New Roman" w:hAnsi="Times New Roman" w:cs="Times New Roman"/>
                <w:b/>
                <w:color w:val="36343A"/>
                <w:sz w:val="24"/>
                <w:szCs w:val="24"/>
              </w:rPr>
              <w:t>c</w:t>
            </w:r>
            <w:r w:rsidRPr="00103EB5">
              <w:rPr>
                <w:rFonts w:ascii="Times New Roman" w:hAnsi="Times New Roman" w:cs="Times New Roman"/>
                <w:b/>
                <w:color w:val="4F4D52"/>
                <w:sz w:val="24"/>
                <w:szCs w:val="24"/>
              </w:rPr>
              <w:t>e</w:t>
            </w:r>
            <w:r w:rsidRPr="00103EB5">
              <w:rPr>
                <w:rFonts w:ascii="Times New Roman" w:hAnsi="Times New Roman" w:cs="Times New Roman"/>
                <w:b/>
                <w:color w:val="36343A"/>
                <w:sz w:val="24"/>
                <w:szCs w:val="24"/>
              </w:rPr>
              <w:t>ntury Literature (DSC) &amp;</w:t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EB5">
              <w:rPr>
                <w:rFonts w:ascii="Times New Roman" w:hAnsi="Times New Roman" w:cs="Times New Roman"/>
                <w:b/>
                <w:color w:val="36343A"/>
                <w:sz w:val="24"/>
                <w:szCs w:val="24"/>
              </w:rPr>
              <w:t>MEL6202T</w:t>
            </w: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4E1EA9" w:rsidRPr="00103EB5" w:rsidRDefault="004E1EA9" w:rsidP="00103EB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Able to identify a nuanced understanding of modernist and postmodernist literature, gaining insight into how authors grappled with the profound social, political, and philosophical questions of the 20th century.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225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36343A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C1753F" w:rsidRPr="00103EB5" w:rsidRDefault="00C1753F" w:rsidP="00103EB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Able to interpret with complex literary works and apply diverse critical perspectives to both classic and contemporary texts.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125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36343A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C1753F" w:rsidRPr="00103EB5" w:rsidRDefault="00C1753F" w:rsidP="00103EB5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Able to illustrate literary analysts developing independent thinking, advanced writing, and research skills.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188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36343A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C1753F" w:rsidRPr="00103EB5" w:rsidRDefault="00C1753F" w:rsidP="00103EB5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Able to apply the role of writers in reflecting cultural anxieties, social movements, and philosophical shifts.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301"/>
        </w:trPr>
        <w:tc>
          <w:tcPr>
            <w:tcW w:w="817" w:type="dxa"/>
            <w:vMerge w:val="restart"/>
          </w:tcPr>
          <w:p w:rsidR="00672416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8" w:type="dxa"/>
            <w:vMerge w:val="restart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M.A.&amp; II-Sem.</w:t>
            </w:r>
          </w:p>
        </w:tc>
        <w:tc>
          <w:tcPr>
            <w:tcW w:w="1842" w:type="dxa"/>
            <w:vMerge w:val="restart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  <w:t>Post Modern Literature (DSC) &amp;</w:t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EB5"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  <w:t>MEL6203T</w:t>
            </w: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C1753F" w:rsidRPr="00103EB5" w:rsidRDefault="00596ADD" w:rsidP="00103EB5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1753F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ble to outline the thematic analysis and critical interpretation of modern poetry.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187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672416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C1753F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discuss more complex dramatic forms and techniques, as well as the socio-political contexts in which these works were written.</w:t>
            </w:r>
          </w:p>
        </w:tc>
      </w:tr>
      <w:tr w:rsidR="00672416" w:rsidRPr="00103EB5" w:rsidTr="00103EB5">
        <w:trPr>
          <w:trHeight w:val="112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B214D8" w:rsidRPr="00103EB5" w:rsidRDefault="00596ADD" w:rsidP="00103EB5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ble to explain the intersection of literature and activism and understand </w:t>
            </w:r>
            <w:proofErr w:type="gramStart"/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how  </w:t>
            </w:r>
            <w:proofErr w:type="spellStart"/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Fowles</w:t>
            </w:r>
            <w:proofErr w:type="spellEnd"/>
            <w:proofErr w:type="gramEnd"/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Vonnegut, Amis, and King  grapple with the ethical and philosophical dilemmas of human existence, identity, and social justice.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188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B214D8" w:rsidRPr="00103EB5" w:rsidRDefault="00596ADD" w:rsidP="00103EB5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ble to </w:t>
            </w:r>
            <w:proofErr w:type="gramStart"/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 independent</w:t>
            </w:r>
            <w:proofErr w:type="gramEnd"/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thought, critical application of theory, and a rigorous examination of literature's role in </w:t>
            </w:r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shaping social consciousness.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200"/>
        </w:trPr>
        <w:tc>
          <w:tcPr>
            <w:tcW w:w="817" w:type="dxa"/>
            <w:vMerge w:val="restart"/>
          </w:tcPr>
          <w:p w:rsidR="00672416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09</w:t>
            </w:r>
          </w:p>
        </w:tc>
        <w:tc>
          <w:tcPr>
            <w:tcW w:w="1418" w:type="dxa"/>
            <w:vMerge w:val="restart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M.A.&amp; II-Sem.</w:t>
            </w:r>
          </w:p>
        </w:tc>
        <w:tc>
          <w:tcPr>
            <w:tcW w:w="1842" w:type="dxa"/>
            <w:vMerge w:val="restart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  <w:proofErr w:type="spellStart"/>
            <w:r w:rsidRPr="00103EB5"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  <w:t>Post Colonial</w:t>
            </w:r>
            <w:proofErr w:type="spellEnd"/>
            <w:r w:rsidRPr="00103EB5"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  <w:t xml:space="preserve"> Literature (DSC) &amp;</w:t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EB5"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  <w:t>MEL6204T</w:t>
            </w: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672416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define the complex themes such as identity, spirituality, gender, and the individual’s place in the world with the help of literary pieces of R. </w:t>
            </w:r>
            <w:proofErr w:type="spellStart"/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Parthasarathy</w:t>
            </w:r>
            <w:proofErr w:type="spellEnd"/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Sri </w:t>
            </w:r>
            <w:proofErr w:type="spellStart"/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Aurobindo</w:t>
            </w:r>
            <w:proofErr w:type="spellEnd"/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and </w:t>
            </w:r>
            <w:proofErr w:type="gramStart"/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Judith .</w:t>
            </w:r>
            <w:proofErr w:type="gramEnd"/>
          </w:p>
        </w:tc>
      </w:tr>
      <w:tr w:rsidR="00672416" w:rsidRPr="00103EB5" w:rsidTr="00103EB5">
        <w:trPr>
          <w:trHeight w:val="175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B214D8" w:rsidRPr="00103EB5" w:rsidRDefault="00596ADD" w:rsidP="00103EB5">
            <w:pPr>
              <w:widowControl w:val="0"/>
              <w:autoSpaceDE w:val="0"/>
              <w:autoSpaceDN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describe the postcolonial narratives and their role in shaping contemporary discussions on identity, power, and cultural transformation.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237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672416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ble to solve the crucial contemporary global issues such as climate change, diaspora, and language politics in the contemporary society.</w:t>
            </w:r>
          </w:p>
        </w:tc>
      </w:tr>
      <w:tr w:rsidR="00672416" w:rsidRPr="00103EB5" w:rsidTr="00103EB5">
        <w:trPr>
          <w:trHeight w:val="163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672416" w:rsidRPr="00103EB5" w:rsidRDefault="00596ADD" w:rsidP="00103EB5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214D8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ble to use the lens of postcolonial theory &amp; literature for global power relations, cultural identity, and ecological crisis. </w:t>
            </w:r>
          </w:p>
        </w:tc>
      </w:tr>
      <w:tr w:rsidR="00672416" w:rsidRPr="00103EB5" w:rsidTr="00103EB5">
        <w:trPr>
          <w:trHeight w:val="200"/>
        </w:trPr>
        <w:tc>
          <w:tcPr>
            <w:tcW w:w="817" w:type="dxa"/>
            <w:vMerge w:val="restart"/>
          </w:tcPr>
          <w:p w:rsidR="00672416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vMerge w:val="restart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M.A.&amp; II-Sem.</w:t>
            </w:r>
          </w:p>
        </w:tc>
        <w:tc>
          <w:tcPr>
            <w:tcW w:w="1842" w:type="dxa"/>
            <w:vMerge w:val="restart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Indian Classics in Translation (DSE) &amp; MEL6205T</w:t>
            </w: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672416" w:rsidRPr="00103EB5" w:rsidRDefault="00596ADD" w:rsidP="00103EB5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define the significance of Lord Rama's birth and his divine qualities along </w:t>
            </w:r>
            <w:proofErr w:type="gramStart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with  </w:t>
            </w:r>
            <w:proofErr w:type="spellStart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</w:t>
            </w:r>
            <w:proofErr w:type="spellEnd"/>
            <w:proofErr w:type="gramEnd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Kand's</w:t>
            </w:r>
            <w:proofErr w:type="spellEnd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themes of dharma, virtue, and righteousness &amp;  the core teachings of the Bhagavad Gita</w:t>
            </w: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72416" w:rsidRPr="00103EB5" w:rsidTr="00103EB5">
        <w:trPr>
          <w:trHeight w:val="200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E70025" w:rsidRPr="00103EB5" w:rsidRDefault="00596ADD" w:rsidP="00103EB5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describe the deeper philosophical insights in </w:t>
            </w:r>
            <w:proofErr w:type="spellStart"/>
            <w:r w:rsidR="00E70025" w:rsidRPr="00103E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Meghdoot</w:t>
            </w:r>
            <w:proofErr w:type="spellEnd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regarding love, longing, and the transience of life &amp; in   </w:t>
            </w:r>
            <w:proofErr w:type="spellStart"/>
            <w:r w:rsidR="00E70025" w:rsidRPr="00103EB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Svapnavasavadatta</w:t>
            </w:r>
            <w:proofErr w:type="spellEnd"/>
            <w:r w:rsidR="00E70025" w:rsidRPr="00103EB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regarding </w:t>
            </w:r>
            <w:proofErr w:type="spellStart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love</w:t>
            </w:r>
            <w:proofErr w:type="gramStart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,duty</w:t>
            </w:r>
            <w:proofErr w:type="spellEnd"/>
            <w:proofErr w:type="gramEnd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,nature and human emotion and apply in their social life.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100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E70025" w:rsidRPr="00103EB5" w:rsidRDefault="00285857" w:rsidP="00103EB5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literary analysis, interpretation, and contextual understanding, preparing them for further study in literature, cultural studies, and philosophical inquiries.</w:t>
            </w:r>
          </w:p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416" w:rsidRPr="00103EB5" w:rsidTr="00103EB5">
        <w:trPr>
          <w:trHeight w:val="301"/>
        </w:trPr>
        <w:tc>
          <w:tcPr>
            <w:tcW w:w="817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2416" w:rsidRPr="00103EB5" w:rsidRDefault="00672416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672416" w:rsidRPr="00103EB5" w:rsidRDefault="00285857" w:rsidP="00103EB5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proofErr w:type="gramStart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demonstrate  the</w:t>
            </w:r>
            <w:proofErr w:type="gramEnd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impact of  </w:t>
            </w:r>
            <w:proofErr w:type="spellStart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Monto’s</w:t>
            </w:r>
            <w:proofErr w:type="spellEnd"/>
            <w:r w:rsidR="00E70025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&amp; Tagore’s literature on the socio-cultural and political fabric of India during their  time and their contribution  to both literature and social reform.</w:t>
            </w:r>
          </w:p>
        </w:tc>
      </w:tr>
      <w:tr w:rsidR="00DE378D" w:rsidRPr="00103EB5" w:rsidTr="00103EB5">
        <w:trPr>
          <w:trHeight w:val="150"/>
        </w:trPr>
        <w:tc>
          <w:tcPr>
            <w:tcW w:w="817" w:type="dxa"/>
            <w:vMerge w:val="restart"/>
          </w:tcPr>
          <w:p w:rsidR="00DE378D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  <w:vMerge w:val="restart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M.A. &amp; III Sem.</w:t>
            </w:r>
          </w:p>
        </w:tc>
        <w:tc>
          <w:tcPr>
            <w:tcW w:w="1842" w:type="dxa"/>
            <w:vMerge w:val="restart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Critical Theory-1   &amp; MEN-301</w:t>
            </w:r>
          </w:p>
        </w:tc>
        <w:tc>
          <w:tcPr>
            <w:tcW w:w="851" w:type="dxa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DE378D" w:rsidRPr="00103EB5" w:rsidRDefault="00285857" w:rsidP="00103EB5">
            <w:pPr>
              <w:widowControl w:val="0"/>
              <w:tabs>
                <w:tab w:val="left" w:pos="1134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DE378D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define the concept and uses of critical theory in an academic context.</w:t>
            </w:r>
          </w:p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378D" w:rsidRPr="00103EB5" w:rsidTr="00103EB5">
        <w:trPr>
          <w:trHeight w:val="90"/>
        </w:trPr>
        <w:tc>
          <w:tcPr>
            <w:tcW w:w="817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DE378D" w:rsidRPr="00103EB5" w:rsidRDefault="00285857" w:rsidP="00103EB5">
            <w:pPr>
              <w:widowControl w:val="0"/>
              <w:tabs>
                <w:tab w:val="left" w:pos="1134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proofErr w:type="gramStart"/>
            <w:r w:rsidR="00DE378D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  critical</w:t>
            </w:r>
            <w:proofErr w:type="gramEnd"/>
            <w:r w:rsidR="00DE378D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thinking  in practices</w:t>
            </w: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378D" w:rsidRPr="00103EB5" w:rsidTr="00103EB5">
        <w:trPr>
          <w:trHeight w:val="100"/>
        </w:trPr>
        <w:tc>
          <w:tcPr>
            <w:tcW w:w="817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DE378D" w:rsidRPr="00103EB5" w:rsidRDefault="00285857" w:rsidP="00103EB5">
            <w:pPr>
              <w:widowControl w:val="0"/>
              <w:tabs>
                <w:tab w:val="left" w:pos="1134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DE378D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give original examples of the key terms of critical </w:t>
            </w:r>
            <w:proofErr w:type="spellStart"/>
            <w:r w:rsidR="00DE378D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ttheories</w:t>
            </w:r>
            <w:proofErr w:type="spellEnd"/>
            <w:r w:rsidR="00DE378D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378D" w:rsidRPr="00103EB5" w:rsidTr="00103EB5">
        <w:trPr>
          <w:trHeight w:val="150"/>
        </w:trPr>
        <w:tc>
          <w:tcPr>
            <w:tcW w:w="817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DE378D" w:rsidRPr="00103EB5" w:rsidRDefault="00285857" w:rsidP="00103EB5">
            <w:pPr>
              <w:widowControl w:val="0"/>
              <w:tabs>
                <w:tab w:val="left" w:pos="1134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DE378D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demonstrate their knowledge and skills in academic literature.   </w:t>
            </w:r>
          </w:p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378D" w:rsidRPr="00103EB5" w:rsidTr="00103EB5">
        <w:trPr>
          <w:trHeight w:val="106"/>
        </w:trPr>
        <w:tc>
          <w:tcPr>
            <w:tcW w:w="817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DE378D" w:rsidRPr="00103EB5" w:rsidRDefault="00285857" w:rsidP="00103EB5">
            <w:pPr>
              <w:widowControl w:val="0"/>
              <w:tabs>
                <w:tab w:val="left" w:pos="1134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="00DE378D" w:rsidRPr="00103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apply their critical thinking as independent thinker and researcher. </w:t>
            </w:r>
          </w:p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378D" w:rsidRPr="00103EB5" w:rsidTr="00103EB5">
        <w:trPr>
          <w:trHeight w:val="125"/>
        </w:trPr>
        <w:tc>
          <w:tcPr>
            <w:tcW w:w="817" w:type="dxa"/>
            <w:vMerge w:val="restart"/>
          </w:tcPr>
          <w:p w:rsidR="00DE378D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  <w:vMerge w:val="restart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M.A.&amp; III-</w:t>
            </w:r>
            <w:proofErr w:type="spellStart"/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Indian Writing in English – I</w:t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&amp;MEN-302</w:t>
            </w:r>
          </w:p>
        </w:tc>
        <w:tc>
          <w:tcPr>
            <w:tcW w:w="851" w:type="dxa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DE378D" w:rsidRPr="00103EB5" w:rsidRDefault="00285857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r w:rsidR="00B51437"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B51437" w:rsidRPr="00103EB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recall</w:t>
            </w:r>
            <w:r w:rsidR="00B51437"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B51437" w:rsidRPr="00103EB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identify</w:t>
            </w:r>
            <w:r w:rsidR="00B51437"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 the central themes and key elements of the selected poems from </w:t>
            </w:r>
            <w:proofErr w:type="spellStart"/>
            <w:r w:rsidR="00B51437" w:rsidRPr="00103EB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Savitri</w:t>
            </w:r>
            <w:proofErr w:type="spellEnd"/>
            <w:r w:rsidR="00B51437"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 (Book I, Canto I) and </w:t>
            </w:r>
            <w:proofErr w:type="spellStart"/>
            <w:r w:rsidR="00B51437" w:rsidRPr="00103EB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Gitanjali</w:t>
            </w:r>
            <w:proofErr w:type="spellEnd"/>
            <w:r w:rsidR="00B51437"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 (Songs 1–15).</w:t>
            </w:r>
          </w:p>
        </w:tc>
      </w:tr>
      <w:tr w:rsidR="00DE378D" w:rsidRPr="00103EB5" w:rsidTr="00103EB5">
        <w:trPr>
          <w:trHeight w:val="102"/>
        </w:trPr>
        <w:tc>
          <w:tcPr>
            <w:tcW w:w="817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DE378D" w:rsidRPr="00103EB5" w:rsidRDefault="00285857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51437"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ble to </w:t>
            </w:r>
            <w:r w:rsidR="00B51437" w:rsidRPr="00103EB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B51437"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 the themes and </w:t>
            </w:r>
            <w:r w:rsidR="00B51437" w:rsidRPr="00103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underlying meanings in poems like “The Freaks,” “A Hot Noon in Malabar,” and “Night of the Scorpion” by Kamala Das, and “Enterprise,” “Poet Lover and Birdwatcher,” by </w:t>
            </w:r>
            <w:proofErr w:type="spellStart"/>
            <w:r w:rsidR="00B51437" w:rsidRPr="00103EB5">
              <w:rPr>
                <w:rFonts w:ascii="Times New Roman" w:hAnsi="Times New Roman" w:cs="Times New Roman"/>
                <w:sz w:val="24"/>
                <w:szCs w:val="24"/>
              </w:rPr>
              <w:t>Nissim</w:t>
            </w:r>
            <w:proofErr w:type="spellEnd"/>
            <w:r w:rsidR="00B51437"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 Ezekiel.</w:t>
            </w:r>
          </w:p>
        </w:tc>
      </w:tr>
      <w:tr w:rsidR="00DE378D" w:rsidRPr="00103EB5" w:rsidTr="00103EB5">
        <w:trPr>
          <w:trHeight w:val="138"/>
        </w:trPr>
        <w:tc>
          <w:tcPr>
            <w:tcW w:w="817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DE378D" w:rsidRPr="00103EB5" w:rsidRDefault="00B51437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Apply the socio-political implications of </w:t>
            </w:r>
            <w:proofErr w:type="spellStart"/>
            <w:r w:rsidRPr="00103EB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Nagamandala</w:t>
            </w:r>
            <w:proofErr w:type="spellEnd"/>
            <w:r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103EB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Silence! The Court is in Session.</w:t>
            </w:r>
          </w:p>
        </w:tc>
      </w:tr>
      <w:tr w:rsidR="00DE378D" w:rsidRPr="00103EB5" w:rsidTr="00103EB5">
        <w:trPr>
          <w:trHeight w:val="187"/>
        </w:trPr>
        <w:tc>
          <w:tcPr>
            <w:tcW w:w="817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B51437" w:rsidRPr="00103EB5" w:rsidRDefault="00B51437" w:rsidP="00103EB5">
            <w:pPr>
              <w:pStyle w:val="NormalWeb"/>
              <w:spacing w:line="360" w:lineRule="auto"/>
              <w:rPr>
                <w:b/>
              </w:rPr>
            </w:pPr>
            <w:r w:rsidRPr="00103EB5">
              <w:rPr>
                <w:b/>
              </w:rPr>
              <w:t xml:space="preserve">Apply the narrative techniques and symbolic elements of </w:t>
            </w:r>
            <w:proofErr w:type="spellStart"/>
            <w:r w:rsidRPr="00103EB5">
              <w:rPr>
                <w:b/>
              </w:rPr>
              <w:t>Kanthapura</w:t>
            </w:r>
            <w:proofErr w:type="spellEnd"/>
            <w:r w:rsidRPr="00103EB5">
              <w:rPr>
                <w:b/>
              </w:rPr>
              <w:t xml:space="preserve"> and Coolie in understanding of colonialism, caste, and </w:t>
            </w:r>
            <w:proofErr w:type="gramStart"/>
            <w:r w:rsidRPr="00103EB5">
              <w:rPr>
                <w:b/>
              </w:rPr>
              <w:t>identity .</w:t>
            </w:r>
            <w:proofErr w:type="gramEnd"/>
          </w:p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378D" w:rsidRPr="00103EB5" w:rsidTr="00103EB5">
        <w:trPr>
          <w:trHeight w:val="75"/>
        </w:trPr>
        <w:tc>
          <w:tcPr>
            <w:tcW w:w="817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E378D" w:rsidRPr="00103EB5" w:rsidRDefault="00DE378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E378D" w:rsidRPr="00103EB5" w:rsidRDefault="00285857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DE378D" w:rsidRPr="00103EB5" w:rsidRDefault="00285857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E8153F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ble to </w:t>
            </w:r>
            <w:r w:rsidR="00E8153F" w:rsidRPr="00103EB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apply</w:t>
            </w:r>
            <w:r w:rsidR="00E8153F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themes of exile, self-discovery, and identity in </w:t>
            </w:r>
            <w:r w:rsidR="00E8153F" w:rsidRPr="00103EB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A House for </w:t>
            </w:r>
            <w:proofErr w:type="spellStart"/>
            <w:r w:rsidR="00E8153F" w:rsidRPr="00103EB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Mr.</w:t>
            </w:r>
            <w:proofErr w:type="spellEnd"/>
            <w:r w:rsidR="00E8153F" w:rsidRPr="00103EB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E8153F" w:rsidRPr="00103EB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Biswas</w:t>
            </w:r>
            <w:proofErr w:type="spellEnd"/>
            <w:r w:rsidR="00E8153F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E8153F" w:rsidRPr="00103EB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Jasmine</w:t>
            </w:r>
            <w:r w:rsidR="00E8153F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153F" w:rsidRPr="00103EB5" w:rsidTr="00103EB5">
        <w:trPr>
          <w:trHeight w:val="125"/>
        </w:trPr>
        <w:tc>
          <w:tcPr>
            <w:tcW w:w="817" w:type="dxa"/>
            <w:vMerge w:val="restart"/>
          </w:tcPr>
          <w:p w:rsidR="00E8153F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8" w:type="dxa"/>
            <w:vMerge w:val="restart"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M.A.&amp; III-</w:t>
            </w:r>
            <w:proofErr w:type="spellStart"/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American Literature – I &amp; </w:t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MEN-303</w:t>
            </w:r>
          </w:p>
        </w:tc>
        <w:tc>
          <w:tcPr>
            <w:tcW w:w="851" w:type="dxa"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E8153F" w:rsidRPr="00103EB5" w:rsidRDefault="00285857" w:rsidP="00103EB5">
            <w:pPr>
              <w:pStyle w:val="NoSpacing"/>
              <w:tabs>
                <w:tab w:val="left" w:pos="1134"/>
              </w:tabs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>Able to i</w:t>
            </w:r>
            <w:r w:rsidR="00E8153F" w:rsidRPr="00103EB5">
              <w:rPr>
                <w:b/>
                <w:sz w:val="24"/>
                <w:szCs w:val="24"/>
              </w:rPr>
              <w:t>dentify the themes of national identity, individualism, and the human experience in the specified poems.</w:t>
            </w:r>
          </w:p>
        </w:tc>
      </w:tr>
      <w:tr w:rsidR="00E8153F" w:rsidRPr="00103EB5" w:rsidTr="00103EB5">
        <w:trPr>
          <w:trHeight w:val="125"/>
        </w:trPr>
        <w:tc>
          <w:tcPr>
            <w:tcW w:w="817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E8153F" w:rsidRPr="00103EB5" w:rsidRDefault="00285857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Able to interpret</w:t>
            </w:r>
            <w:r w:rsidR="00E8153F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Dickinson’s themes, particularly the nature of life, death, and the human psyche.</w:t>
            </w:r>
          </w:p>
        </w:tc>
      </w:tr>
      <w:tr w:rsidR="00E8153F" w:rsidRPr="00103EB5" w:rsidTr="00103EB5">
        <w:trPr>
          <w:trHeight w:val="115"/>
        </w:trPr>
        <w:tc>
          <w:tcPr>
            <w:tcW w:w="817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E8153F" w:rsidRPr="00103EB5" w:rsidRDefault="00285857" w:rsidP="00103EB5">
            <w:pPr>
              <w:pStyle w:val="NoSpacing"/>
              <w:tabs>
                <w:tab w:val="left" w:pos="1134"/>
              </w:tabs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r w:rsidR="00E8153F" w:rsidRPr="00103EB5">
              <w:rPr>
                <w:b/>
                <w:sz w:val="24"/>
                <w:szCs w:val="24"/>
              </w:rPr>
              <w:t>explain Stevens' commentary on modern life and the role of poetry in constructing meaning.</w:t>
            </w:r>
          </w:p>
        </w:tc>
      </w:tr>
      <w:tr w:rsidR="00E8153F" w:rsidRPr="00103EB5" w:rsidTr="00103EB5">
        <w:trPr>
          <w:trHeight w:val="137"/>
        </w:trPr>
        <w:tc>
          <w:tcPr>
            <w:tcW w:w="817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E8153F" w:rsidRPr="00103EB5" w:rsidRDefault="00285857" w:rsidP="00103EB5">
            <w:pPr>
              <w:pStyle w:val="NoSpacing"/>
              <w:tabs>
                <w:tab w:val="left" w:pos="1134"/>
              </w:tabs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r w:rsidR="00E8153F" w:rsidRPr="00103EB5">
              <w:rPr>
                <w:b/>
                <w:sz w:val="24"/>
                <w:szCs w:val="24"/>
              </w:rPr>
              <w:t xml:space="preserve">apply Emerson's concept of self-reliance and its implications for American thought and culture and Thoreau’s argument for civil disobedience and its relevance to </w:t>
            </w:r>
            <w:r w:rsidR="00E8153F" w:rsidRPr="00103EB5">
              <w:rPr>
                <w:b/>
                <w:sz w:val="24"/>
                <w:szCs w:val="24"/>
              </w:rPr>
              <w:lastRenderedPageBreak/>
              <w:t>contemporary political and social issues.</w:t>
            </w:r>
          </w:p>
        </w:tc>
      </w:tr>
      <w:tr w:rsidR="00E8153F" w:rsidRPr="00103EB5" w:rsidTr="00103EB5">
        <w:trPr>
          <w:trHeight w:val="119"/>
        </w:trPr>
        <w:tc>
          <w:tcPr>
            <w:tcW w:w="817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8153F" w:rsidRPr="00103EB5" w:rsidRDefault="00285857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E8153F" w:rsidRPr="00103EB5" w:rsidRDefault="00285857" w:rsidP="00103EB5">
            <w:pPr>
              <w:pStyle w:val="NoSpacing"/>
              <w:tabs>
                <w:tab w:val="left" w:pos="1134"/>
              </w:tabs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r w:rsidR="00E8153F" w:rsidRPr="00103EB5">
              <w:rPr>
                <w:b/>
                <w:sz w:val="24"/>
                <w:szCs w:val="24"/>
              </w:rPr>
              <w:t>apply the intellectual movements and philosophical themes that shaped American literature.</w:t>
            </w:r>
          </w:p>
        </w:tc>
      </w:tr>
      <w:tr w:rsidR="00E8153F" w:rsidRPr="00103EB5" w:rsidTr="00103EB5">
        <w:trPr>
          <w:trHeight w:val="188"/>
        </w:trPr>
        <w:tc>
          <w:tcPr>
            <w:tcW w:w="817" w:type="dxa"/>
            <w:vMerge w:val="restart"/>
          </w:tcPr>
          <w:p w:rsidR="00E8153F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8" w:type="dxa"/>
            <w:vMerge w:val="restart"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M.A.&amp; III-</w:t>
            </w:r>
            <w:proofErr w:type="spellStart"/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0678C0" w:rsidRPr="00103EB5" w:rsidRDefault="000678C0" w:rsidP="00103E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LINGUISTICS -1&amp;</w:t>
            </w:r>
          </w:p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MEN-304</w:t>
            </w:r>
          </w:p>
        </w:tc>
        <w:tc>
          <w:tcPr>
            <w:tcW w:w="851" w:type="dxa"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E8153F" w:rsidRPr="00103EB5" w:rsidRDefault="00285857" w:rsidP="00103EB5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r w:rsidR="00E8153F" w:rsidRPr="00103EB5">
              <w:rPr>
                <w:b/>
                <w:sz w:val="24"/>
                <w:szCs w:val="24"/>
              </w:rPr>
              <w:t>define the concepts of linguistics and phonetics.</w:t>
            </w:r>
          </w:p>
        </w:tc>
      </w:tr>
      <w:tr w:rsidR="00E8153F" w:rsidRPr="00103EB5" w:rsidTr="00103EB5">
        <w:trPr>
          <w:trHeight w:val="115"/>
        </w:trPr>
        <w:tc>
          <w:tcPr>
            <w:tcW w:w="817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E8153F" w:rsidRPr="00103EB5" w:rsidRDefault="00285857" w:rsidP="00103EB5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r w:rsidR="00E8153F" w:rsidRPr="00103EB5">
              <w:rPr>
                <w:b/>
                <w:sz w:val="24"/>
                <w:szCs w:val="24"/>
              </w:rPr>
              <w:t>discuss the correct pronunciation of Advanced English.</w:t>
            </w:r>
          </w:p>
        </w:tc>
      </w:tr>
      <w:tr w:rsidR="00E8153F" w:rsidRPr="00103EB5" w:rsidTr="00103EB5">
        <w:trPr>
          <w:trHeight w:val="125"/>
        </w:trPr>
        <w:tc>
          <w:tcPr>
            <w:tcW w:w="817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E8153F" w:rsidRPr="00103EB5" w:rsidRDefault="00285857" w:rsidP="00103EB5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proofErr w:type="gramStart"/>
            <w:r w:rsidR="00E8153F" w:rsidRPr="00103EB5">
              <w:rPr>
                <w:b/>
                <w:sz w:val="24"/>
                <w:szCs w:val="24"/>
              </w:rPr>
              <w:t>present  the</w:t>
            </w:r>
            <w:proofErr w:type="gramEnd"/>
            <w:r w:rsidR="00E8153F" w:rsidRPr="00103EB5">
              <w:rPr>
                <w:b/>
                <w:sz w:val="24"/>
                <w:szCs w:val="24"/>
              </w:rPr>
              <w:t xml:space="preserve"> procedure of the production of human speech sounds.</w:t>
            </w:r>
          </w:p>
        </w:tc>
      </w:tr>
      <w:tr w:rsidR="00E8153F" w:rsidRPr="00103EB5" w:rsidTr="00103EB5">
        <w:trPr>
          <w:trHeight w:val="150"/>
        </w:trPr>
        <w:tc>
          <w:tcPr>
            <w:tcW w:w="817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E8153F" w:rsidRPr="00103EB5" w:rsidRDefault="00285857" w:rsidP="00103EB5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proofErr w:type="gramStart"/>
            <w:r w:rsidR="00E8153F" w:rsidRPr="00103EB5">
              <w:rPr>
                <w:b/>
                <w:sz w:val="24"/>
                <w:szCs w:val="24"/>
              </w:rPr>
              <w:t>use  the</w:t>
            </w:r>
            <w:proofErr w:type="gramEnd"/>
            <w:r w:rsidR="00E8153F" w:rsidRPr="00103EB5">
              <w:rPr>
                <w:b/>
                <w:sz w:val="24"/>
                <w:szCs w:val="24"/>
              </w:rPr>
              <w:t xml:space="preserve"> branches of linguistics and phonetics.</w:t>
            </w:r>
          </w:p>
        </w:tc>
      </w:tr>
      <w:tr w:rsidR="00E8153F" w:rsidRPr="00103EB5" w:rsidTr="00103EB5">
        <w:trPr>
          <w:trHeight w:val="106"/>
        </w:trPr>
        <w:tc>
          <w:tcPr>
            <w:tcW w:w="817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E8153F" w:rsidRPr="00103EB5" w:rsidRDefault="00E8153F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8153F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E8153F" w:rsidRPr="00103EB5" w:rsidRDefault="00285857" w:rsidP="00103EB5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r w:rsidR="00E8153F" w:rsidRPr="00103EB5">
              <w:rPr>
                <w:b/>
                <w:sz w:val="24"/>
                <w:szCs w:val="24"/>
              </w:rPr>
              <w:t>determine the classification of human speech sound.</w:t>
            </w:r>
          </w:p>
        </w:tc>
      </w:tr>
      <w:tr w:rsidR="00596ADD" w:rsidRPr="00103EB5" w:rsidTr="00103EB5">
        <w:trPr>
          <w:trHeight w:val="163"/>
        </w:trPr>
        <w:tc>
          <w:tcPr>
            <w:tcW w:w="817" w:type="dxa"/>
            <w:vMerge w:val="restart"/>
          </w:tcPr>
          <w:p w:rsidR="00596ADD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vMerge w:val="restart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M.A.&amp; III-</w:t>
            </w:r>
            <w:proofErr w:type="spellStart"/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Modernist Literature-I</w:t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&amp; MEN-305</w:t>
            </w: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r w:rsidR="00596ADD" w:rsidRPr="00103EB5">
              <w:rPr>
                <w:b/>
                <w:sz w:val="24"/>
                <w:szCs w:val="24"/>
              </w:rPr>
              <w:t xml:space="preserve">outline the literary techniques of   </w:t>
            </w:r>
            <w:proofErr w:type="spellStart"/>
            <w:r w:rsidR="00596ADD" w:rsidRPr="00103EB5">
              <w:rPr>
                <w:b/>
                <w:sz w:val="24"/>
                <w:szCs w:val="24"/>
              </w:rPr>
              <w:t>Hopkins</w:t>
            </w:r>
            <w:proofErr w:type="gramStart"/>
            <w:r w:rsidR="00596ADD" w:rsidRPr="00103EB5">
              <w:rPr>
                <w:b/>
                <w:sz w:val="24"/>
                <w:szCs w:val="24"/>
              </w:rPr>
              <w:t>,Yeats,Eliot</w:t>
            </w:r>
            <w:proofErr w:type="spellEnd"/>
            <w:proofErr w:type="gramEnd"/>
            <w:r w:rsidR="00596ADD" w:rsidRPr="00103EB5">
              <w:rPr>
                <w:b/>
                <w:sz w:val="24"/>
                <w:szCs w:val="24"/>
              </w:rPr>
              <w:t xml:space="preserve"> and Auden. </w:t>
            </w:r>
          </w:p>
        </w:tc>
      </w:tr>
      <w:tr w:rsidR="00596ADD" w:rsidRPr="00103EB5" w:rsidTr="00103EB5">
        <w:trPr>
          <w:trHeight w:val="102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r w:rsidR="00596ADD" w:rsidRPr="00103EB5">
              <w:rPr>
                <w:b/>
                <w:sz w:val="24"/>
                <w:szCs w:val="24"/>
              </w:rPr>
              <w:t>describe the thematic and stylistic elements of poetry by Gerard Manley.</w:t>
            </w:r>
          </w:p>
        </w:tc>
      </w:tr>
      <w:tr w:rsidR="00596ADD" w:rsidRPr="00103EB5" w:rsidTr="00103EB5">
        <w:trPr>
          <w:trHeight w:val="125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r w:rsidR="00596ADD" w:rsidRPr="00103EB5">
              <w:rPr>
                <w:b/>
                <w:sz w:val="24"/>
                <w:szCs w:val="24"/>
              </w:rPr>
              <w:t>demonstrate the central themes and forms in T.S. Eliot’s The Waste Land.</w:t>
            </w:r>
          </w:p>
        </w:tc>
      </w:tr>
      <w:tr w:rsidR="00596ADD" w:rsidRPr="00103EB5" w:rsidTr="00103EB5">
        <w:trPr>
          <w:trHeight w:val="138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r w:rsidR="00596ADD" w:rsidRPr="00103EB5">
              <w:rPr>
                <w:b/>
                <w:sz w:val="24"/>
                <w:szCs w:val="24"/>
              </w:rPr>
              <w:t>determine W.H. Auden's poems related to the themes of war, loss, and memory.</w:t>
            </w:r>
          </w:p>
        </w:tc>
      </w:tr>
      <w:tr w:rsidR="00596ADD" w:rsidRPr="00103EB5" w:rsidTr="00103EB5">
        <w:trPr>
          <w:trHeight w:val="175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103EB5">
              <w:rPr>
                <w:b/>
                <w:sz w:val="24"/>
                <w:szCs w:val="24"/>
              </w:rPr>
              <w:t xml:space="preserve">Able to </w:t>
            </w:r>
            <w:r w:rsidR="00596ADD" w:rsidRPr="00103EB5">
              <w:rPr>
                <w:b/>
                <w:sz w:val="24"/>
                <w:szCs w:val="24"/>
              </w:rPr>
              <w:t>demonstrate Dylan Thomas’s poetic themes of life, death, and personal reflection.</w:t>
            </w:r>
          </w:p>
        </w:tc>
      </w:tr>
      <w:tr w:rsidR="00596ADD" w:rsidRPr="00103EB5" w:rsidTr="00103EB5">
        <w:trPr>
          <w:trHeight w:val="112"/>
        </w:trPr>
        <w:tc>
          <w:tcPr>
            <w:tcW w:w="817" w:type="dxa"/>
            <w:vMerge w:val="restart"/>
          </w:tcPr>
          <w:p w:rsidR="00596ADD" w:rsidRPr="00103EB5" w:rsidRDefault="0048473A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8" w:type="dxa"/>
            <w:vMerge w:val="restart"/>
          </w:tcPr>
          <w:p w:rsidR="00596ADD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M.A.&amp; IV-</w:t>
            </w:r>
            <w:proofErr w:type="spellStart"/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Critical Theory-II</w:t>
            </w:r>
            <w:r w:rsidRPr="00103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ab/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</w:t>
            </w:r>
          </w:p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MEN-401</w:t>
            </w: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CO1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Able to i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dentify and define the fundamental elements of </w:t>
            </w:r>
            <w:r w:rsidR="00596ADD" w:rsidRPr="00103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Rasa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="00596ADD" w:rsidRPr="00103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Bhava</w:t>
            </w:r>
            <w:proofErr w:type="spellEnd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theories. </w:t>
            </w:r>
          </w:p>
        </w:tc>
      </w:tr>
      <w:tr w:rsidR="00596ADD" w:rsidRPr="00103EB5" w:rsidTr="00103EB5">
        <w:trPr>
          <w:trHeight w:val="102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Able to di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scuss the relationship between tradition and the individual artist, and explain the concept of poetic innovation within the context of historical and literary traditions.</w:t>
            </w:r>
          </w:p>
        </w:tc>
      </w:tr>
      <w:tr w:rsidR="00596ADD" w:rsidRPr="00103EB5" w:rsidTr="00103EB5">
        <w:trPr>
          <w:trHeight w:val="77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Able to a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pply I.A. Richards’ theories to </w:t>
            </w:r>
            <w:proofErr w:type="spellStart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analyze</w:t>
            </w:r>
            <w:proofErr w:type="spellEnd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poem, focusing on the process of communication between the poet and the audience, and evaluating the role of meaning, context, and interpretation in poetic works.</w:t>
            </w:r>
          </w:p>
        </w:tc>
      </w:tr>
      <w:tr w:rsidR="00596ADD" w:rsidRPr="00103EB5" w:rsidTr="00103EB5">
        <w:trPr>
          <w:trHeight w:val="163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Able to d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emonstrate how Saussure’s </w:t>
            </w:r>
            <w:proofErr w:type="spellStart"/>
            <w:proofErr w:type="gramStart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structuralist</w:t>
            </w:r>
            <w:proofErr w:type="spellEnd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view</w:t>
            </w:r>
            <w:proofErr w:type="gramEnd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language and Foucault’s conceptualization of the author impact literary criticism, semiotics, and the role of the author in shaping text and meaning.</w:t>
            </w:r>
          </w:p>
        </w:tc>
      </w:tr>
      <w:tr w:rsidR="00596ADD" w:rsidRPr="00103EB5" w:rsidTr="00103EB5">
        <w:trPr>
          <w:trHeight w:val="125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Able to </w:t>
            </w:r>
            <w:proofErr w:type="gramStart"/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se  Frye’s</w:t>
            </w:r>
            <w:proofErr w:type="gramEnd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theory of criticism as a structural force and Showalter’s feminist approach to literary criticism in contemporary literary analysis and criticism.</w:t>
            </w:r>
          </w:p>
        </w:tc>
      </w:tr>
      <w:tr w:rsidR="00596ADD" w:rsidRPr="00103EB5" w:rsidTr="00103EB5">
        <w:trPr>
          <w:trHeight w:val="100"/>
        </w:trPr>
        <w:tc>
          <w:tcPr>
            <w:tcW w:w="817" w:type="dxa"/>
            <w:vMerge w:val="restart"/>
          </w:tcPr>
          <w:p w:rsidR="00596ADD" w:rsidRPr="00103EB5" w:rsidRDefault="0048473A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  <w:vMerge w:val="restart"/>
          </w:tcPr>
          <w:p w:rsidR="00596ADD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M.A.&amp; IV-</w:t>
            </w:r>
            <w:proofErr w:type="spellStart"/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MEN-402</w:t>
            </w: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Able to id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entify and describe the key themes, emotional tones, and stylistic elements in </w:t>
            </w:r>
            <w:r w:rsidR="00596ADD" w:rsidRPr="00103E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From Exile, From Trial, From Homecoming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R. </w:t>
            </w:r>
            <w:proofErr w:type="spellStart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Parthasarthy</w:t>
            </w:r>
            <w:proofErr w:type="spellEnd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596ADD" w:rsidRPr="00103E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Indian Summer, A Missing Person, Hunger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</w:t>
            </w:r>
            <w:proofErr w:type="spellStart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Jayanta</w:t>
            </w:r>
            <w:proofErr w:type="spellEnd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Mahapatra</w:t>
            </w:r>
            <w:proofErr w:type="spellEnd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6ADD" w:rsidRPr="00103EB5" w:rsidTr="00103EB5">
        <w:trPr>
          <w:trHeight w:val="77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Able to d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emonstrate an understanding of the historical, social, and cultural 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contexts in which </w:t>
            </w:r>
            <w:r w:rsidR="00596ADD" w:rsidRPr="00103E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The Autobiography of an Unknown Indian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596ADD" w:rsidRPr="00103E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The Discovery of India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were written, analyzing the authors’ perspectives on Indian identity, colonialism, and nationalism.</w:t>
            </w:r>
          </w:p>
        </w:tc>
      </w:tr>
      <w:tr w:rsidR="00596ADD" w:rsidRPr="00103EB5" w:rsidTr="00103EB5">
        <w:trPr>
          <w:trHeight w:val="102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Able to a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pply Gandhi's principles of nonviolence and </w:t>
            </w:r>
            <w:proofErr w:type="spellStart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Kalam's</w:t>
            </w:r>
            <w:proofErr w:type="spellEnd"/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ideas on youth empowerment and national development to contemporary issues.</w:t>
            </w:r>
          </w:p>
        </w:tc>
      </w:tr>
      <w:tr w:rsidR="00596ADD" w:rsidRPr="00103EB5" w:rsidTr="00103EB5">
        <w:trPr>
          <w:trHeight w:val="125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Able to a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pply the themes such as mental health, marital struggles, and personal identity in post-independence Indian society as presented in </w:t>
            </w:r>
            <w:r w:rsidR="00596ADD" w:rsidRPr="00103E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The Dark Holds No Terror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596ADD" w:rsidRPr="00103E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Cry the Peacock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596ADD" w:rsidRPr="00103EB5" w:rsidTr="00103EB5">
        <w:trPr>
          <w:trHeight w:val="115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Able to d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iscuss the thematic exploration of globalization, colonialism, and social inequality in </w:t>
            </w:r>
            <w:r w:rsidR="00596ADD" w:rsidRPr="00103E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The Glass Palace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596ADD" w:rsidRPr="00103E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The White Tiger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’. </w:t>
            </w:r>
          </w:p>
        </w:tc>
      </w:tr>
      <w:tr w:rsidR="00596ADD" w:rsidRPr="00103EB5" w:rsidTr="00103EB5">
        <w:trPr>
          <w:trHeight w:val="150"/>
        </w:trPr>
        <w:tc>
          <w:tcPr>
            <w:tcW w:w="817" w:type="dxa"/>
            <w:vMerge w:val="restart"/>
          </w:tcPr>
          <w:p w:rsidR="00596ADD" w:rsidRPr="00103EB5" w:rsidRDefault="0048473A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  <w:vMerge w:val="restart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 w:val="restart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American Literature &amp;MEN-403</w:t>
            </w: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Able to i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dentify and describe the central themes, characters, and major events in </w:t>
            </w:r>
            <w:r w:rsidR="00596ADD" w:rsidRPr="00103E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The Emperor Jones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596ADD" w:rsidRPr="00103E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The Glass Menagerie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, demonstrating basic comprehension of the texts.</w:t>
            </w:r>
          </w:p>
        </w:tc>
      </w:tr>
      <w:tr w:rsidR="00596ADD" w:rsidRPr="00103EB5" w:rsidTr="00103EB5">
        <w:trPr>
          <w:trHeight w:val="102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Able to d</w:t>
            </w:r>
            <w:r w:rsidR="00596ADD"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iscuss the thematic concerns and character dynamics in </w:t>
            </w:r>
            <w:r w:rsidR="00596ADD" w:rsidRPr="00103EB5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>All My Sons</w:t>
            </w:r>
            <w:r w:rsidR="00596ADD"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and </w:t>
            </w:r>
            <w:r w:rsidR="00596ADD" w:rsidRPr="00103EB5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>Who’s Afraid of Virginia Woolf?</w:t>
            </w:r>
          </w:p>
        </w:tc>
      </w:tr>
      <w:tr w:rsidR="00596ADD" w:rsidRPr="00103EB5" w:rsidTr="00103EB5">
        <w:trPr>
          <w:trHeight w:val="90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Able to a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pply literary theory of each author to explore themes of time, struggle, and human resilience found in</w:t>
            </w:r>
            <w:r w:rsidR="00596ADD" w:rsidRPr="00103EB5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 xml:space="preserve"> The Sound and the Fury</w:t>
            </w:r>
            <w:r w:rsidR="00596ADD"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and </w:t>
            </w:r>
            <w:r w:rsidR="00596ADD" w:rsidRPr="00103EB5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>The Old Man and the Sea</w:t>
            </w:r>
            <w:r w:rsidR="00596ADD"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96ADD" w:rsidRPr="00103EB5" w:rsidTr="00103EB5">
        <w:trPr>
          <w:trHeight w:val="150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Able to d</w:t>
            </w:r>
            <w:r w:rsidR="00596ADD"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emonstrate how each novel critiques societal norms and addresses issues of personal and collective morality by reading the characters, symbolism, and social criticism of the novel .</w:t>
            </w:r>
          </w:p>
        </w:tc>
      </w:tr>
      <w:tr w:rsidR="00596ADD" w:rsidRPr="00103EB5" w:rsidTr="00103EB5">
        <w:trPr>
          <w:trHeight w:val="103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Able to d</w:t>
            </w:r>
            <w:r w:rsidR="00596ADD"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etermine the major themes, techniques, and impact of these movements on modern literature and theatre.</w:t>
            </w:r>
          </w:p>
        </w:tc>
      </w:tr>
      <w:tr w:rsidR="00596ADD" w:rsidRPr="00103EB5" w:rsidTr="00103EB5">
        <w:trPr>
          <w:trHeight w:val="150"/>
        </w:trPr>
        <w:tc>
          <w:tcPr>
            <w:tcW w:w="817" w:type="dxa"/>
            <w:vMerge w:val="restart"/>
          </w:tcPr>
          <w:p w:rsidR="00596ADD" w:rsidRPr="00103EB5" w:rsidRDefault="0048473A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8" w:type="dxa"/>
            <w:vMerge w:val="restart"/>
          </w:tcPr>
          <w:p w:rsidR="00596ADD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M.A.&amp; IV-</w:t>
            </w:r>
            <w:proofErr w:type="spellStart"/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596ADD" w:rsidRPr="00103EB5" w:rsidRDefault="0048473A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Linguistics-II &amp;</w:t>
            </w:r>
            <w:r w:rsidR="00596ADD"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MEN-404</w:t>
            </w: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="00596ADD" w:rsidRPr="00103EB5">
              <w:rPr>
                <w:rFonts w:ascii="Times New Roman" w:hAnsi="Times New Roman" w:cs="Times New Roman"/>
                <w:sz w:val="24"/>
                <w:szCs w:val="24"/>
              </w:rPr>
              <w:t>define phonemes and allophones in the context of English phonology and recognize the different classifications of English phonemes.</w:t>
            </w:r>
          </w:p>
        </w:tc>
      </w:tr>
      <w:tr w:rsidR="00596ADD" w:rsidRPr="00103EB5" w:rsidTr="00103EB5">
        <w:trPr>
          <w:trHeight w:val="125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Able to </w:t>
            </w:r>
            <w:r w:rsidR="00596ADD"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>paraphrase an understanding of how morphemes form the building blocks of words and identify the different word-classes and their role in morphology.</w:t>
            </w:r>
          </w:p>
        </w:tc>
      </w:tr>
      <w:tr w:rsidR="00596ADD" w:rsidRPr="00103EB5" w:rsidTr="00103EB5">
        <w:trPr>
          <w:trHeight w:val="150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>Able to u</w:t>
            </w:r>
            <w:r w:rsidR="00596ADD"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>se and break down sentence structures using IC analysis, identifying constituents, and applying knowledge of syntax to understand word order, concord, and government within different sentence types.</w:t>
            </w:r>
          </w:p>
        </w:tc>
      </w:tr>
      <w:tr w:rsidR="00596ADD" w:rsidRPr="00103EB5" w:rsidTr="00103EB5">
        <w:trPr>
          <w:trHeight w:val="150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Able to </w:t>
            </w:r>
            <w:r w:rsidR="00596ADD"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demonstrate the ability to identify and </w:t>
            </w:r>
            <w:proofErr w:type="spellStart"/>
            <w:r w:rsidR="00596ADD"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analyze</w:t>
            </w:r>
            <w:proofErr w:type="spellEnd"/>
            <w:r w:rsidR="00596ADD"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various semantic relationships in English, including synonymy, </w:t>
            </w:r>
            <w:proofErr w:type="spellStart"/>
            <w:r w:rsidR="00596ADD"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antonymy</w:t>
            </w:r>
            <w:proofErr w:type="spellEnd"/>
            <w:r w:rsidR="00596ADD" w:rsidRPr="00103E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and polysemy, and apply these concepts to practical language analysis.</w:t>
            </w:r>
          </w:p>
        </w:tc>
      </w:tr>
      <w:tr w:rsidR="00596ADD" w:rsidRPr="00103EB5" w:rsidTr="00103EB5">
        <w:trPr>
          <w:trHeight w:val="889"/>
        </w:trPr>
        <w:tc>
          <w:tcPr>
            <w:tcW w:w="817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96ADD" w:rsidRPr="00103EB5" w:rsidRDefault="00596ADD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596ADD" w:rsidRPr="00103EB5" w:rsidRDefault="00285857" w:rsidP="00103EB5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Able to </w:t>
            </w:r>
            <w:r w:rsidR="00596ADD"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>apply phrase structure grammar, identifying its strengths and limitations in the description and analysis of syntactic structures.</w:t>
            </w:r>
          </w:p>
        </w:tc>
      </w:tr>
      <w:tr w:rsidR="006A7CC5" w:rsidRPr="00103EB5" w:rsidTr="00103EB5">
        <w:tc>
          <w:tcPr>
            <w:tcW w:w="817" w:type="dxa"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M.A.&amp; IV-</w:t>
            </w:r>
            <w:proofErr w:type="spellStart"/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MODERNIST LITERATURE - II &amp;</w:t>
            </w:r>
            <w:r w:rsidRPr="0010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MEN-405</w:t>
            </w:r>
          </w:p>
        </w:tc>
        <w:tc>
          <w:tcPr>
            <w:tcW w:w="851" w:type="dxa"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6A7CC5" w:rsidRPr="00103EB5" w:rsidRDefault="006A7CC5" w:rsidP="00103EB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Able to identify the use of </w:t>
            </w:r>
            <w:proofErr w:type="spellStart"/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>absurdism</w:t>
            </w:r>
            <w:proofErr w:type="spellEnd"/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existential themes in </w:t>
            </w:r>
            <w:r w:rsidRPr="00103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Waiting for </w:t>
            </w:r>
            <w:proofErr w:type="spellStart"/>
            <w:r w:rsidRPr="00103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Godot</w:t>
            </w:r>
            <w:proofErr w:type="spellEnd"/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relate it to broader philosophical and literary contexts.</w:t>
            </w:r>
          </w:p>
        </w:tc>
      </w:tr>
      <w:tr w:rsidR="006A7CC5" w:rsidRPr="00103EB5" w:rsidTr="00103EB5">
        <w:tc>
          <w:tcPr>
            <w:tcW w:w="817" w:type="dxa"/>
            <w:vMerge w:val="restart"/>
          </w:tcPr>
          <w:p w:rsidR="006A7CC5" w:rsidRPr="00103EB5" w:rsidRDefault="0048473A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6A7CC5" w:rsidRPr="00103EB5" w:rsidRDefault="006A7CC5" w:rsidP="00103EB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Able to </w:t>
            </w:r>
            <w:proofErr w:type="gramStart"/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>discuss  the</w:t>
            </w:r>
            <w:proofErr w:type="gramEnd"/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main character’s emotional and social conflicts in </w:t>
            </w:r>
            <w:r w:rsidRPr="00103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Look Back in Anger</w:t>
            </w:r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>, exploring how these issues reflect the broader cultural disillusionment of the 1950s.</w:t>
            </w:r>
          </w:p>
        </w:tc>
      </w:tr>
      <w:tr w:rsidR="006A7CC5" w:rsidRPr="00103EB5" w:rsidTr="00103EB5">
        <w:tc>
          <w:tcPr>
            <w:tcW w:w="817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6A7CC5" w:rsidRPr="00103EB5" w:rsidRDefault="006A7CC5" w:rsidP="00103EB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Able to apply the various </w:t>
            </w:r>
            <w:proofErr w:type="gramStart"/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>plot</w:t>
            </w:r>
            <w:proofErr w:type="gramEnd"/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characters and themes in social life through a close reading of </w:t>
            </w:r>
            <w:r w:rsidRPr="00103EB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Disgrace &amp; The Grass is Singing</w:t>
            </w:r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6A7CC5" w:rsidRPr="00103EB5" w:rsidTr="00103EB5">
        <w:tc>
          <w:tcPr>
            <w:tcW w:w="817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6A7CC5" w:rsidRPr="00103EB5" w:rsidRDefault="006A7CC5" w:rsidP="00103EB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>Able to illustrate the protagonist’s evolving relationship with food as a metaphor for social and personal identity within the context of the 1960s feminist movement.</w:t>
            </w:r>
          </w:p>
        </w:tc>
      </w:tr>
      <w:tr w:rsidR="006A7CC5" w:rsidRPr="00103EB5" w:rsidTr="00103EB5">
        <w:trPr>
          <w:trHeight w:val="1137"/>
        </w:trPr>
        <w:tc>
          <w:tcPr>
            <w:tcW w:w="817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A7CC5" w:rsidRPr="00103EB5" w:rsidRDefault="006A7CC5" w:rsidP="00103E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6A7CC5" w:rsidRPr="00103EB5" w:rsidRDefault="006A7CC5" w:rsidP="00103EB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B5">
              <w:rPr>
                <w:rFonts w:ascii="Times New Roman" w:eastAsiaTheme="minorEastAsia" w:hAnsi="Times New Roman" w:cs="Times New Roman"/>
                <w:sz w:val="24"/>
                <w:szCs w:val="24"/>
              </w:rPr>
              <w:t>Able to apply the concept of Orientalism and its impact on the cultural, political, and academic construction of the East through Said’s theoretical framework.</w:t>
            </w:r>
          </w:p>
        </w:tc>
      </w:tr>
    </w:tbl>
    <w:p w:rsidR="00716FB6" w:rsidRPr="00596ADD" w:rsidRDefault="00716FB6" w:rsidP="0048473A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716FB6" w:rsidRPr="00596A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94" w:rsidRDefault="00EF7594" w:rsidP="00716FB6">
      <w:pPr>
        <w:spacing w:after="0" w:line="240" w:lineRule="auto"/>
      </w:pPr>
      <w:r>
        <w:separator/>
      </w:r>
    </w:p>
  </w:endnote>
  <w:endnote w:type="continuationSeparator" w:id="0">
    <w:p w:rsidR="00EF7594" w:rsidRDefault="00EF7594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94" w:rsidRDefault="00EF7594" w:rsidP="00716FB6">
      <w:pPr>
        <w:spacing w:after="0" w:line="240" w:lineRule="auto"/>
      </w:pPr>
      <w:r>
        <w:separator/>
      </w:r>
    </w:p>
  </w:footnote>
  <w:footnote w:type="continuationSeparator" w:id="0">
    <w:p w:rsidR="00EF7594" w:rsidRDefault="00EF7594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57" w:rsidRDefault="00285857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F3F"/>
    <w:multiLevelType w:val="hybridMultilevel"/>
    <w:tmpl w:val="797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62A7"/>
    <w:multiLevelType w:val="hybridMultilevel"/>
    <w:tmpl w:val="E2F8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46D77"/>
    <w:multiLevelType w:val="hybridMultilevel"/>
    <w:tmpl w:val="5460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F728F"/>
    <w:multiLevelType w:val="multilevel"/>
    <w:tmpl w:val="7088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B7593"/>
    <w:multiLevelType w:val="hybridMultilevel"/>
    <w:tmpl w:val="C1CC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C6A30"/>
    <w:multiLevelType w:val="multilevel"/>
    <w:tmpl w:val="EFFC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73581"/>
    <w:multiLevelType w:val="hybridMultilevel"/>
    <w:tmpl w:val="A86A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063BC"/>
    <w:multiLevelType w:val="hybridMultilevel"/>
    <w:tmpl w:val="F4D8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4073D"/>
    <w:multiLevelType w:val="hybridMultilevel"/>
    <w:tmpl w:val="E162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1207E"/>
    <w:multiLevelType w:val="hybridMultilevel"/>
    <w:tmpl w:val="9570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812DF"/>
    <w:multiLevelType w:val="hybridMultilevel"/>
    <w:tmpl w:val="60A4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5B1F"/>
    <w:multiLevelType w:val="hybridMultilevel"/>
    <w:tmpl w:val="ED62890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2060424"/>
    <w:multiLevelType w:val="hybridMultilevel"/>
    <w:tmpl w:val="28046CDE"/>
    <w:lvl w:ilvl="0" w:tplc="0709FD3E">
      <w:start w:val="1"/>
      <w:numFmt w:val="bullet"/>
      <w:lvlText w:val="•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363C1"/>
    <w:multiLevelType w:val="hybridMultilevel"/>
    <w:tmpl w:val="E8C2E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A7A67"/>
    <w:multiLevelType w:val="hybridMultilevel"/>
    <w:tmpl w:val="3B16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E2128"/>
    <w:multiLevelType w:val="hybridMultilevel"/>
    <w:tmpl w:val="8042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E435F"/>
    <w:multiLevelType w:val="hybridMultilevel"/>
    <w:tmpl w:val="A5BC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16"/>
  </w:num>
  <w:num w:numId="13">
    <w:abstractNumId w:val="6"/>
  </w:num>
  <w:num w:numId="14">
    <w:abstractNumId w:val="12"/>
  </w:num>
  <w:num w:numId="15">
    <w:abstractNumId w:val="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26F28"/>
    <w:rsid w:val="000678C0"/>
    <w:rsid w:val="00103EB5"/>
    <w:rsid w:val="001D26DA"/>
    <w:rsid w:val="00261AD8"/>
    <w:rsid w:val="00285857"/>
    <w:rsid w:val="002A6080"/>
    <w:rsid w:val="00371E18"/>
    <w:rsid w:val="003C0939"/>
    <w:rsid w:val="0048473A"/>
    <w:rsid w:val="004E1EA9"/>
    <w:rsid w:val="004E3708"/>
    <w:rsid w:val="00531358"/>
    <w:rsid w:val="00596ADD"/>
    <w:rsid w:val="006437B3"/>
    <w:rsid w:val="00672416"/>
    <w:rsid w:val="006A7CC5"/>
    <w:rsid w:val="00716FB6"/>
    <w:rsid w:val="00802BEA"/>
    <w:rsid w:val="00874677"/>
    <w:rsid w:val="0087595B"/>
    <w:rsid w:val="008B78FC"/>
    <w:rsid w:val="00B214D8"/>
    <w:rsid w:val="00B35B6B"/>
    <w:rsid w:val="00B3600A"/>
    <w:rsid w:val="00B40672"/>
    <w:rsid w:val="00B51437"/>
    <w:rsid w:val="00C1753F"/>
    <w:rsid w:val="00C217C8"/>
    <w:rsid w:val="00D13359"/>
    <w:rsid w:val="00D713BD"/>
    <w:rsid w:val="00DC312C"/>
    <w:rsid w:val="00DE378D"/>
    <w:rsid w:val="00E65DD4"/>
    <w:rsid w:val="00E70025"/>
    <w:rsid w:val="00E8153F"/>
    <w:rsid w:val="00E92B1D"/>
    <w:rsid w:val="00EF7594"/>
    <w:rsid w:val="00F7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7467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7595B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B514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81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7467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7595B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B514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81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2025-01-31T10:39:00Z</dcterms:created>
  <dcterms:modified xsi:type="dcterms:W3CDTF">2025-02-03T06:51:00Z</dcterms:modified>
</cp:coreProperties>
</file>